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marki w 2026 roku: Jak branding przekłada się na miliardy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ujawniają, że silna marka to nie tylko kwestia wizerunku – to konkretne pieniądze, zaufanie konsumentów i przewaga konkurencyjna warta miliardy.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podstawie badania: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https://digitalpr.studio/branding-statistics/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marek globalnych osiąga astronomiczne poziomy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pozostaje najbardziej wartościową marką na świecie z oszałamiającą wywyceną 470,9 miliarda dolarów. Top 100 globalnych marek jest łącznie warte 3,6 biliona dolarów w 2025 roku, co stanowi wzrost o 4,4% w porównaniu z rokiem poprzednim. Najbardziej spektakularny skok zanotowała NVIDIA, której wartość marki wzrosła o rekordowe 116%, osiągając 43,2 miliarda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badania wykazują, że zaledwie 1% wzrost siły i klarowności marki wiąże się ze średnim wzrostem ceny akcji o 2,3%. To konkretny dowód na to, że branding ma bezpośredni wpływ na wyniki finansowe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Zaufanie konsumentów – fundament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88% konsumentów musi ufać marce, zanim zdecyduje się na zakup lub skorzystanie z jej usług. To zaufanie przekłada się na realne zachowania zakupowe – 87% kupujących jest gotowych zapłacić więcej za produkty marek, którym ufają. Co ciekawe, 68% lojalnych klientów pozostałoby przy swoich ulubionych markach nawet w przypadku wzrostu cen, a konsumenci są skłonni zapłacić średnio o 25% więcej, aby pozostać przy zaufanych brandach.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ma jednak swoje geograficzne różnice. W USA 65% konsumentów ufa markom krajowym, podczas gdy zagraniczne cieszą się zaufaniem jedynie 42% Amerykanów. Dla porównania, w Chinach aż 88% konsumentów ufa markom krajowym, a 82% zagranicznym, co pokazuje znacznie większą otwartość chińskiego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Konsystencja i autentyczność przynoszą wymierne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Spójny branding może zwiększyć przychody o 10-20%, co dla dużych przedsiębiorstw oznacza setki milionów dodatkowego zysku. Badania pokazują, że 35% firm doświadczyło wzrostu przychodów o 10-20% dzięki konsekwencji w brandingu, a kolejne 33% odnotowało wzrost o 20% lub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Autentyczność jest równie kluczowa – niemal połowa konsumentów przestanie kupować od marki, jeśli jej marketing wydaje się nieszczery. Z kolei 82% kupujących preferuje marki, których wartości są zgodne z ich własnymi, a 64% podejmuje decyzje zakupowe lub bojkotuje marki na podstawie ich stanowiska w kwestiach społecznych.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Psychologia koloru i pierwsze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formułują opinię o atrakcyjności wizualnej marki w zaledwie 0,05 sekundy – szybciej niż mrugnięcie okiem. W tym krótkim czasie design odpowiada za aż 94% pierwszego wrażenia. Kolor odgrywa kluczową rolę, zwiększając rozpoznawalność marki nawet o 80% w porównaniu z rozwiązaniami monochromatycznymi.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 dominuje jako kolor budujący zaufanie – wybiera go 54% konsumentów. Jest także najbardziej prawdopodobnym kolorem prowadzącym do impulsywnych zakupów. Połowa konsumentów (50%) przyznaje, że sam kolor wpłynął na ich wybór marki, a 46% deklaruje, że schemat kolorystyczny wpływa na ich decyzje zakupowe. Co więcej, jedna trzecia kupujących (33%) jest bardziej skłonna pozostać lojalna wobec marek stosujących spójne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społecznościowe jako motor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społecznościowe stały się kluczowym kanałem odkrywania marek – 51% konsumentów znajduje nowe produkty właśnie tam. Co więcej, 77% użytkowników deklaruje, że chętniej kupuje od marek, które obserwują w mediach społecznościowych. Nieobecność lub brak reakcji może być kosztowny – 73% użytkowników social media przejdzie do konkurencji, jeśli marka nie odpowie na ich 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 marketing również pokazuje swoją siłę – 64% użytkowników mediów społecznościowych jest bardziej skłonnych kupić od marki współpracującej z lubianymi przez nich influencerami. W 2025 roku aż 39% konsumentów dokonało zakupu na podstawie rekomendacji influencera w ciągu ostatniego roku. Głównym powodem śledzenia marek w social media są jednak rabaty i promocje – wskazuje na to 64%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 społeczne jako nowy imperatyw biznesowy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konsument oczekuje od marek czegoś więcej niż tylko produktów. Aż 76% kupujących twierdzi, że w ciągu ostatnich pięciu lat bardziej liczy się dla nich to, czy marka daje im optymizm. 75% chce, by marki pomagały im czynić dobro, a 74% oczekuje, że sprawią, iż będą się dobrze 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Transparentność jest kluczowa – 96% konsumentów uważa ją za ważną dla budowania lojalności. Ponadto 73% kupujących jest bardziej skłonnych zaufać markom, które autentycznie odzwierciedlają współczesną kulturę. Z drugiej strony, 53% ludzi zakłada, że marka jest nieaktywna lub coś ukrywa, jeśli nie wypowiada się w kwestiach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działania mają znaczenie – 60% konsumentów chętniej kupi od marek pomagających chronić czyste powietrze i wodę w ich lokalnych społecznościach, a 55% wspiera marki walczące ze zmianami klimatycznymi.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Ryzyko utraty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Lojalność klientów, choć cenna, jest krucha. Aż 70% konsumentów porzuci markę po zaledwie dwóch negatywnych doświadczeniach. Co więcej, 45% kupujących porzuca zakupy online z powodu braku zaufania do marki. W erze mediów społecznościowych, 61% konsumentów publicznie podzieli się negatywnym doświadczeniem z marką w social media lub recenzji, co może mieć dalekosiężne konsekwencje wizerunkowe.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nadzieja – 63% konsumentów jest skłonnych wybaczyć marce po publicznej kontrowersji, jeśli odpowiednio na nią zareaguje.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nie pozostawiają wątpliwości – silny branding to inwestycja, która bezpośrednio przekłada się na wyniki finansowe. Od momentalnego pierwszego wrażenia w 0,05 sekundy, przez psychologię koloru, po długoterminowe budowanie zaufania i wartości społecznych – każdy element tożsamości marki ma znaczenie. W świecie, gdzie konsumenci podejmują decyzje zakupowe w oparciu o wartości, autentyczność i doświadczenia, marki nie mogą sobie pozwolić na bylejakość. Te, które inwestują w spójny, autentyczny i wartościowy branding, nie tylko przetrwają – będą prosperować, zarabiając o 10-20% więcej i budując armię lojalnych klientów gotowych zapłacić więcej za ich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PR Studio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Data publikacji:</w:t>
      </w:r>
      <w:r>
        <w:rPr>
          <w:rFonts w:ascii="calibri" w:hAnsi="calibri" w:eastAsia="calibri" w:cs="calibri"/>
          <w:sz w:val="24"/>
          <w:szCs w:val="24"/>
        </w:rPr>
        <w:t xml:space="preserve"> 2025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Badania:</w:t>
      </w:r>
      <w:r>
        <w:rPr>
          <w:rFonts w:ascii="calibri" w:hAnsi="calibri" w:eastAsia="calibri" w:cs="calibri"/>
          <w:sz w:val="24"/>
          <w:szCs w:val="24"/>
        </w:rPr>
        <w:t xml:space="preserve"> Interbrand, Edelman Trust Barometer, Adobe, Salsify, Sprout Social, Clutch, UserTesting, Marq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pr.studio/branding-statistics/" TargetMode="External"/><Relationship Id="rId8" Type="http://schemas.openxmlformats.org/officeDocument/2006/relationships/hyperlink" Target="https://digitalpr.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2026-01-01T14:34:21+01:00</dcterms:created>
  <dcterms:modified xsi:type="dcterms:W3CDTF">2026-01-01T14:34:21+01:00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